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GoBack"/>
      <w:bookmarkEnd w:id="2"/>
      <w:bookmarkStart w:id="0" w:name="_Toc28359042"/>
      <w:bookmarkStart w:id="1" w:name="_Toc35393832"/>
      <w:r>
        <w:rPr>
          <w:rFonts w:hint="eastAsia" w:ascii="华文中宋" w:hAnsi="华文中宋" w:eastAsia="华文中宋"/>
        </w:rPr>
        <w:t>山西大学检验试剂一批（SDDY-21001）单一来源征求意见公示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u w:val="single"/>
        </w:rPr>
      </w:pPr>
      <w:r>
        <w:rPr>
          <w:rFonts w:hint="eastAsia" w:ascii="仿宋" w:hAnsi="仿宋" w:eastAsia="仿宋"/>
          <w:sz w:val="28"/>
          <w:szCs w:val="28"/>
        </w:rPr>
        <w:t>采购人：</w:t>
      </w:r>
      <w:r>
        <w:rPr>
          <w:rFonts w:hint="eastAsia" w:ascii="仿宋" w:hAnsi="仿宋" w:eastAsia="仿宋"/>
          <w:sz w:val="28"/>
          <w:szCs w:val="28"/>
          <w:u w:val="single"/>
        </w:rPr>
        <w:t>山西大学</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山西大学检验试剂一批</w:t>
      </w:r>
    </w:p>
    <w:p>
      <w:pPr>
        <w:ind w:firstLine="560" w:firstLineChars="200"/>
        <w:rPr>
          <w:rFonts w:ascii="仿宋" w:hAnsi="仿宋" w:eastAsia="仿宋"/>
          <w:sz w:val="28"/>
          <w:szCs w:val="28"/>
        </w:rPr>
      </w:pPr>
      <w:r>
        <w:rPr>
          <w:rFonts w:hint="eastAsia" w:ascii="仿宋" w:hAnsi="仿宋" w:eastAsia="仿宋"/>
          <w:sz w:val="28"/>
          <w:szCs w:val="28"/>
        </w:rPr>
        <w:t>拟采购的货物或服务的说明：山西大学医院临床检验设备使用的是德国Roche Diagnostics GmbH（中国区总代理：罗氏诊断产品（上海）有限公司）生产的“全自动电化学发光免疫分析cobas e411”；日本 SYSMEX CORPORATION （中国区总代理：希森美康医用电子（上海）有限公司）生产的“全自动血液体液分析仪XN-10[B4]”。其中cobas e411采用行业领先的电化学发光技术，检测性能优越，由于电化学发光技术的特殊性，使用其他生产厂家的试剂、校准、质控，检测结果的溯源性和重复性不能保证，也不能保证检测结果的精准性；而XN-10[B4]设备试剂通道封闭，也必须使用相对应的原厂进口配套试剂，才能保证检测结果准确，检测效率高，使设备使用寿命更长。</w:t>
      </w:r>
    </w:p>
    <w:p>
      <w:pPr>
        <w:ind w:firstLine="560" w:firstLineChars="200"/>
        <w:rPr>
          <w:rFonts w:ascii="仿宋" w:hAnsi="仿宋" w:eastAsia="仿宋"/>
          <w:sz w:val="28"/>
          <w:szCs w:val="28"/>
          <w:u w:val="single"/>
        </w:rPr>
      </w:pPr>
      <w:r>
        <w:rPr>
          <w:rFonts w:hint="eastAsia" w:ascii="仿宋" w:hAnsi="仿宋" w:eastAsia="仿宋"/>
          <w:sz w:val="28"/>
          <w:szCs w:val="28"/>
        </w:rPr>
        <w:t>拟采购的货物或服务的预算金额：</w:t>
      </w:r>
      <w:r>
        <w:rPr>
          <w:rFonts w:ascii="仿宋" w:hAnsi="仿宋" w:eastAsia="仿宋"/>
          <w:sz w:val="28"/>
          <w:szCs w:val="28"/>
          <w:u w:val="single"/>
        </w:rPr>
        <w:t>934308.49</w:t>
      </w:r>
      <w:r>
        <w:rPr>
          <w:rFonts w:hint="eastAsia" w:ascii="仿宋" w:hAnsi="仿宋" w:eastAsia="仿宋"/>
          <w:sz w:val="28"/>
          <w:szCs w:val="28"/>
          <w:u w:val="single"/>
        </w:rPr>
        <w:t>元</w:t>
      </w:r>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采用单一来源采购方式的原因及说明：目前，山西执信医疗设备有限公司是上述两项设备以及适配设备原厂配套试剂产品在山西省内的唯一代理商。因此，申请此项目以单一来源方式采购。</w:t>
      </w:r>
    </w:p>
    <w:p>
      <w:pPr>
        <w:ind w:firstLine="560" w:firstLineChars="200"/>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山西执信医疗设备有限公司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山西综改示范区太原唐槐园区唐明路28号8幢1层　</w:t>
      </w:r>
    </w:p>
    <w:p>
      <w:pPr>
        <w:rPr>
          <w:rFonts w:ascii="黑体" w:hAnsi="黑体" w:eastAsia="黑体"/>
          <w:sz w:val="28"/>
          <w:szCs w:val="28"/>
        </w:rPr>
      </w:pPr>
      <w:r>
        <w:rPr>
          <w:rFonts w:hint="eastAsia" w:ascii="黑体" w:hAnsi="黑体" w:eastAsia="黑体"/>
          <w:sz w:val="28"/>
          <w:szCs w:val="28"/>
        </w:rPr>
        <w:t>三、公示期限</w:t>
      </w:r>
    </w:p>
    <w:p>
      <w:pPr>
        <w:pStyle w:val="11"/>
        <w:ind w:left="-10" w:leftChars="-5" w:firstLine="560"/>
        <w:rPr>
          <w:rFonts w:ascii="仿宋" w:hAnsi="仿宋" w:eastAsia="仿宋"/>
          <w:sz w:val="28"/>
          <w:szCs w:val="28"/>
        </w:rPr>
      </w:pPr>
      <w:r>
        <w:rPr>
          <w:rFonts w:hint="eastAsia" w:ascii="仿宋" w:hAnsi="仿宋" w:eastAsia="仿宋"/>
          <w:sz w:val="28"/>
          <w:szCs w:val="28"/>
          <w:u w:val="single"/>
        </w:rPr>
        <w:t>2</w:t>
      </w:r>
      <w:r>
        <w:rPr>
          <w:rFonts w:ascii="仿宋" w:hAnsi="仿宋" w:eastAsia="仿宋"/>
          <w:sz w:val="28"/>
          <w:szCs w:val="28"/>
          <w:u w:val="single"/>
        </w:rPr>
        <w:t>021</w:t>
      </w:r>
      <w:r>
        <w:rPr>
          <w:rFonts w:hint="eastAsia" w:ascii="仿宋" w:hAnsi="仿宋" w:eastAsia="仿宋"/>
          <w:sz w:val="28"/>
          <w:szCs w:val="28"/>
          <w:u w:val="single"/>
        </w:rPr>
        <w:t>年4月2日</w:t>
      </w:r>
      <w:r>
        <w:rPr>
          <w:rFonts w:hint="eastAsia" w:ascii="仿宋" w:hAnsi="仿宋" w:eastAsia="仿宋"/>
          <w:sz w:val="28"/>
          <w:szCs w:val="28"/>
        </w:rPr>
        <w:t>至</w:t>
      </w:r>
      <w:r>
        <w:rPr>
          <w:rFonts w:hint="eastAsia" w:ascii="仿宋" w:hAnsi="仿宋" w:eastAsia="仿宋"/>
          <w:sz w:val="28"/>
          <w:szCs w:val="28"/>
          <w:u w:val="single"/>
        </w:rPr>
        <w:t>2021年4月9日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范卓华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山西省太原市坞城路92号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r>
        <w:rPr>
          <w:rFonts w:ascii="仿宋" w:hAnsi="仿宋" w:eastAsia="仿宋"/>
          <w:sz w:val="28"/>
          <w:szCs w:val="28"/>
          <w:u w:val="single"/>
        </w:rPr>
        <w:t>0351-7011255</w:t>
      </w:r>
      <w:r>
        <w:rPr>
          <w:rFonts w:hint="eastAsia" w:ascii="仿宋" w:hAnsi="仿宋" w:eastAsia="仿宋"/>
          <w:sz w:val="28"/>
          <w:szCs w:val="28"/>
          <w:u w:val="single"/>
        </w:rPr>
        <w:t xml:space="preserve">　　　     </w:t>
      </w:r>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1、专业人员论证意见</w:t>
      </w:r>
    </w:p>
    <w:p>
      <w:pPr>
        <w:ind w:firstLine="560" w:firstLineChars="200"/>
        <w:rPr>
          <w:rFonts w:ascii="仿宋" w:hAnsi="仿宋" w:eastAsia="仿宋"/>
          <w:sz w:val="28"/>
          <w:szCs w:val="28"/>
        </w:rPr>
      </w:pPr>
      <w:r>
        <w:rPr>
          <w:rFonts w:hint="eastAsia" w:ascii="仿宋" w:hAnsi="仿宋" w:eastAsia="仿宋"/>
          <w:sz w:val="28"/>
          <w:szCs w:val="28"/>
        </w:rPr>
        <w:t>2、检验试剂采购明细</w:t>
      </w:r>
    </w:p>
    <w:p>
      <w:pPr>
        <w:ind w:firstLine="560" w:firstLineChars="200"/>
        <w:rPr>
          <w:rFonts w:ascii="仿宋" w:hAnsi="仿宋" w:eastAsia="仿宋"/>
          <w:sz w:val="28"/>
          <w:szCs w:val="28"/>
        </w:rPr>
      </w:pPr>
      <w:r>
        <w:rPr>
          <w:rFonts w:ascii="仿宋" w:hAnsi="仿宋" w:eastAsia="仿宋"/>
          <w:sz w:val="28"/>
          <w:szCs w:val="28"/>
        </w:rPr>
        <w:br w:type="page"/>
      </w:r>
    </w:p>
    <w:p>
      <w:pPr>
        <w:jc w:val="left"/>
        <w:rPr>
          <w:rFonts w:hint="eastAsia" w:ascii="仿宋" w:hAnsi="仿宋" w:eastAsia="仿宋"/>
          <w:sz w:val="28"/>
          <w:szCs w:val="28"/>
          <w:lang w:eastAsia="zh-CN"/>
        </w:rPr>
      </w:pPr>
      <w:r>
        <w:rPr>
          <w:rFonts w:hint="eastAsia" w:ascii="仿宋" w:hAnsi="仿宋" w:eastAsia="仿宋"/>
          <w:sz w:val="28"/>
          <w:szCs w:val="28"/>
          <w:lang w:eastAsia="zh-CN"/>
        </w:rPr>
        <w:drawing>
          <wp:inline distT="0" distB="0" distL="114300" distR="114300">
            <wp:extent cx="5252085" cy="8604250"/>
            <wp:effectExtent l="0" t="0" r="5715" b="635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52085" cy="8604250"/>
                    </a:xfrm>
                    <a:prstGeom prst="rect">
                      <a:avLst/>
                    </a:prstGeom>
                  </pic:spPr>
                </pic:pic>
              </a:graphicData>
            </a:graphic>
          </wp:inline>
        </w:drawing>
      </w:r>
    </w:p>
    <w:p>
      <w:pPr>
        <w:jc w:val="left"/>
        <w:rPr>
          <w:rFonts w:hint="eastAsia" w:ascii="仿宋" w:hAnsi="仿宋" w:eastAsia="仿宋"/>
          <w:sz w:val="28"/>
          <w:szCs w:val="28"/>
          <w:lang w:eastAsia="zh-CN"/>
        </w:rPr>
      </w:pPr>
      <w:r>
        <w:rPr>
          <w:rFonts w:hint="eastAsia" w:ascii="仿宋" w:hAnsi="仿宋" w:eastAsia="仿宋"/>
          <w:sz w:val="28"/>
          <w:szCs w:val="28"/>
          <w:lang w:eastAsia="zh-CN"/>
        </w:rPr>
        <w:drawing>
          <wp:inline distT="0" distB="0" distL="114300" distR="114300">
            <wp:extent cx="5338445" cy="8639810"/>
            <wp:effectExtent l="0" t="0" r="14605" b="889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338445" cy="8639810"/>
                    </a:xfrm>
                    <a:prstGeom prst="rect">
                      <a:avLst/>
                    </a:prstGeom>
                  </pic:spPr>
                </pic:pic>
              </a:graphicData>
            </a:graphic>
          </wp:inline>
        </w:drawing>
      </w:r>
    </w:p>
    <w:p>
      <w:pPr>
        <w:jc w:val="left"/>
        <w:rPr>
          <w:rFonts w:ascii="仿宋" w:hAnsi="仿宋" w:eastAsia="仿宋"/>
          <w:sz w:val="28"/>
          <w:szCs w:val="28"/>
        </w:rPr>
      </w:pPr>
      <w:r>
        <w:rPr>
          <w:rFonts w:hint="eastAsia" w:ascii="仿宋" w:hAnsi="仿宋" w:eastAsia="仿宋"/>
          <w:sz w:val="28"/>
          <w:szCs w:val="28"/>
          <w:lang w:eastAsia="zh-CN"/>
        </w:rPr>
        <w:drawing>
          <wp:inline distT="0" distB="0" distL="114300" distR="114300">
            <wp:extent cx="5265420" cy="8613140"/>
            <wp:effectExtent l="0" t="0" r="11430" b="1651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265420" cy="8613140"/>
                    </a:xfrm>
                    <a:prstGeom prst="rect">
                      <a:avLst/>
                    </a:prstGeom>
                  </pic:spPr>
                </pic:pic>
              </a:graphicData>
            </a:graphic>
          </wp:inline>
        </w:drawing>
      </w:r>
    </w:p>
    <w:tbl>
      <w:tblPr>
        <w:tblStyle w:val="5"/>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835"/>
        <w:gridCol w:w="709"/>
        <w:gridCol w:w="709"/>
        <w:gridCol w:w="1134"/>
        <w:gridCol w:w="1134"/>
        <w:gridCol w:w="1559"/>
        <w:gridCol w:w="709"/>
      </w:tblGrid>
      <w:tr>
        <w:tblPrEx>
          <w:tblCellMar>
            <w:top w:w="0" w:type="dxa"/>
            <w:left w:w="108" w:type="dxa"/>
            <w:bottom w:w="0" w:type="dxa"/>
            <w:right w:w="108" w:type="dxa"/>
          </w:tblCellMar>
        </w:tblPrEx>
        <w:trPr>
          <w:trHeight w:val="690" w:hRule="atLeast"/>
        </w:trPr>
        <w:tc>
          <w:tcPr>
            <w:tcW w:w="709" w:type="dxa"/>
            <w:vAlign w:val="center"/>
          </w:tcPr>
          <w:p>
            <w:pPr>
              <w:jc w:val="center"/>
              <w:rPr>
                <w:rStyle w:val="15"/>
                <w:rFonts w:ascii="宋体" w:hAnsi="宋体"/>
                <w:kern w:val="0"/>
                <w:sz w:val="22"/>
                <w:szCs w:val="22"/>
              </w:rPr>
            </w:pPr>
            <w:r>
              <w:rPr>
                <w:rStyle w:val="15"/>
                <w:rFonts w:ascii="宋体" w:hAnsi="宋体"/>
                <w:kern w:val="0"/>
                <w:sz w:val="22"/>
                <w:szCs w:val="22"/>
              </w:rPr>
              <w:t>序号</w:t>
            </w:r>
          </w:p>
        </w:tc>
        <w:tc>
          <w:tcPr>
            <w:tcW w:w="2835" w:type="dxa"/>
            <w:vAlign w:val="center"/>
          </w:tcPr>
          <w:p>
            <w:pPr>
              <w:jc w:val="center"/>
              <w:rPr>
                <w:rStyle w:val="15"/>
                <w:rFonts w:ascii="宋体" w:hAnsi="宋体"/>
                <w:kern w:val="0"/>
                <w:sz w:val="22"/>
                <w:szCs w:val="22"/>
              </w:rPr>
            </w:pPr>
            <w:r>
              <w:rPr>
                <w:rStyle w:val="15"/>
                <w:rFonts w:hint="eastAsia" w:ascii="宋体" w:hAnsi="宋体"/>
                <w:kern w:val="0"/>
                <w:sz w:val="22"/>
                <w:szCs w:val="22"/>
              </w:rPr>
              <w:t>货物</w:t>
            </w:r>
            <w:r>
              <w:rPr>
                <w:rStyle w:val="15"/>
                <w:rFonts w:ascii="宋体" w:hAnsi="宋体"/>
                <w:kern w:val="0"/>
                <w:sz w:val="22"/>
                <w:szCs w:val="22"/>
              </w:rPr>
              <w:t>名称</w:t>
            </w:r>
          </w:p>
        </w:tc>
        <w:tc>
          <w:tcPr>
            <w:tcW w:w="709" w:type="dxa"/>
            <w:vAlign w:val="center"/>
          </w:tcPr>
          <w:p>
            <w:pPr>
              <w:jc w:val="center"/>
              <w:rPr>
                <w:rStyle w:val="15"/>
                <w:kern w:val="0"/>
                <w:sz w:val="22"/>
                <w:szCs w:val="22"/>
              </w:rPr>
            </w:pPr>
            <w:r>
              <w:rPr>
                <w:rStyle w:val="15"/>
                <w:kern w:val="0"/>
                <w:sz w:val="22"/>
                <w:szCs w:val="22"/>
              </w:rPr>
              <w:t>数量</w:t>
            </w:r>
          </w:p>
        </w:tc>
        <w:tc>
          <w:tcPr>
            <w:tcW w:w="709" w:type="dxa"/>
            <w:vAlign w:val="center"/>
          </w:tcPr>
          <w:p>
            <w:pPr>
              <w:jc w:val="center"/>
              <w:rPr>
                <w:rStyle w:val="15"/>
                <w:rFonts w:ascii="宋体" w:hAnsi="宋体"/>
                <w:kern w:val="0"/>
                <w:sz w:val="22"/>
                <w:szCs w:val="22"/>
              </w:rPr>
            </w:pPr>
            <w:r>
              <w:rPr>
                <w:rStyle w:val="15"/>
                <w:rFonts w:ascii="宋体" w:hAnsi="宋体"/>
                <w:kern w:val="0"/>
                <w:sz w:val="22"/>
                <w:szCs w:val="22"/>
              </w:rPr>
              <w:t>单位</w:t>
            </w:r>
          </w:p>
        </w:tc>
        <w:tc>
          <w:tcPr>
            <w:tcW w:w="1134" w:type="dxa"/>
            <w:vAlign w:val="center"/>
          </w:tcPr>
          <w:p>
            <w:pPr>
              <w:jc w:val="center"/>
              <w:rPr>
                <w:rStyle w:val="15"/>
                <w:rFonts w:ascii="宋体" w:hAnsi="宋体"/>
                <w:kern w:val="0"/>
                <w:sz w:val="22"/>
                <w:szCs w:val="22"/>
              </w:rPr>
            </w:pPr>
            <w:r>
              <w:rPr>
                <w:rStyle w:val="15"/>
                <w:rFonts w:ascii="宋体" w:hAnsi="宋体"/>
                <w:kern w:val="0"/>
                <w:sz w:val="22"/>
                <w:szCs w:val="22"/>
              </w:rPr>
              <w:t>预算单价（元）</w:t>
            </w:r>
          </w:p>
        </w:tc>
        <w:tc>
          <w:tcPr>
            <w:tcW w:w="1134" w:type="dxa"/>
            <w:vAlign w:val="center"/>
          </w:tcPr>
          <w:p>
            <w:pPr>
              <w:jc w:val="center"/>
              <w:rPr>
                <w:rStyle w:val="15"/>
                <w:rFonts w:ascii="宋体" w:hAnsi="宋体"/>
                <w:kern w:val="0"/>
                <w:sz w:val="22"/>
                <w:szCs w:val="22"/>
              </w:rPr>
            </w:pPr>
            <w:r>
              <w:rPr>
                <w:rStyle w:val="15"/>
                <w:rFonts w:ascii="宋体" w:hAnsi="宋体"/>
                <w:kern w:val="0"/>
                <w:sz w:val="22"/>
                <w:szCs w:val="22"/>
              </w:rPr>
              <w:t>预算总价</w:t>
            </w:r>
            <w:r>
              <w:rPr>
                <w:rStyle w:val="15"/>
                <w:kern w:val="0"/>
                <w:sz w:val="22"/>
                <w:szCs w:val="22"/>
              </w:rPr>
              <w:t>(</w:t>
            </w:r>
            <w:r>
              <w:rPr>
                <w:rStyle w:val="15"/>
                <w:rFonts w:ascii="宋体" w:hAnsi="宋体"/>
                <w:kern w:val="0"/>
                <w:sz w:val="22"/>
                <w:szCs w:val="22"/>
              </w:rPr>
              <w:t>元</w:t>
            </w:r>
            <w:r>
              <w:rPr>
                <w:rStyle w:val="15"/>
                <w:kern w:val="0"/>
                <w:sz w:val="22"/>
                <w:szCs w:val="22"/>
              </w:rPr>
              <w:t>)</w:t>
            </w:r>
          </w:p>
        </w:tc>
        <w:tc>
          <w:tcPr>
            <w:tcW w:w="1559" w:type="dxa"/>
            <w:vAlign w:val="center"/>
          </w:tcPr>
          <w:p>
            <w:pPr>
              <w:jc w:val="center"/>
              <w:rPr>
                <w:rStyle w:val="15"/>
                <w:rFonts w:ascii="宋体" w:hAnsi="宋体"/>
                <w:color w:val="000000"/>
                <w:kern w:val="0"/>
                <w:sz w:val="22"/>
                <w:szCs w:val="22"/>
              </w:rPr>
            </w:pPr>
            <w:r>
              <w:rPr>
                <w:rStyle w:val="15"/>
                <w:rFonts w:ascii="宋体" w:hAnsi="宋体"/>
                <w:color w:val="000000"/>
                <w:kern w:val="0"/>
                <w:sz w:val="22"/>
                <w:szCs w:val="22"/>
              </w:rPr>
              <w:t>规格型号及配置技术参数</w:t>
            </w:r>
          </w:p>
        </w:tc>
        <w:tc>
          <w:tcPr>
            <w:tcW w:w="709" w:type="dxa"/>
            <w:vAlign w:val="center"/>
          </w:tcPr>
          <w:p>
            <w:pPr>
              <w:jc w:val="center"/>
              <w:rPr>
                <w:rStyle w:val="15"/>
                <w:rFonts w:ascii="宋体" w:hAnsi="宋体"/>
                <w:color w:val="000000"/>
                <w:kern w:val="0"/>
                <w:sz w:val="22"/>
                <w:szCs w:val="22"/>
              </w:rPr>
            </w:pPr>
            <w:r>
              <w:rPr>
                <w:rStyle w:val="15"/>
                <w:rFonts w:hint="eastAsia" w:ascii="宋体" w:hAnsi="宋体"/>
                <w:color w:val="000000"/>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ISE Cleaning Solution/Elecsys SysClean 清洗液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10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3083.00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30830.00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5*100ml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分析杯</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2290.00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9160.00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60*60PCS</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分析吸头</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2676.00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32112.00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30*120PCS</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2010废物盒（盒）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个</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2085.00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2085.00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14PCS/盒</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CleanCell 缓冲液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880.00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7920.00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6*380ml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ProCell 三丙胺缓冲液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11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880.00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9680.00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6*380ml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Diluent Universal 样本稀释液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1296.00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1296.00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2*36ml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Diluent Universal 样本稀释液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331.00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331.00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2*16ml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通用稀释液2</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1368.00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1368.00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2*36ml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清洗液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1699.00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1699.00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12*70ml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SYS WASH 清洗液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6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1348.00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8088.00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500ml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PRECLEAN M 清洗液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977.00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977.00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5*600ml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样本稀释液（甲肝）</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2019.00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2019.00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2*15ml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样本萃取液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523.00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523.00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样本稀释液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1463.00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1463.00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2*16ml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检测池清洗液适配器</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112.00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112.00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1PC/个</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IGE II免疫球蛋白E检测试剂盒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3059.00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3059.00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免疫球蛋白E定标液IgE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1933.00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1933.00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VD total 25-羟基维生素D检测试剂盒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5266.80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5266.80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25-羟基维生素D定标液Vitamin D total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4050.00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4050.00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高敏肌钙蛋白T检测试剂盒（电化学发光法）Elecsys Troponin T hs</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8147.00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8147.00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TNT hs Cal高敏肌钙蛋白T定标液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1632.00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1632.00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Myo 肌红蛋白检测试剂盒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4205.70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4205.70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Myo Cal 肌红蛋白定标液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2040.00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2040.00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CK-MB 肌酸激酶同工酶检测试剂盒（电化学发光法）</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2232.00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2232.00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CK-MB Cal肌酸激酶-MB同功酶定标液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1486.80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2973.60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心肌质控品 PreciControl Cardiac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2805.00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2805.00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4*2.0ml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C-Peptide Cal C-肽定标液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1678.00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1678.00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Insulin 胰岛素检测试剂盒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2319.00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2319.00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Insulin Cal 胰岛素定标液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1410.00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1410.00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Estradiol Ⅲ雌二醇检测试剂盒（电化学发光法）</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1985.82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1985.82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Estradiol Ⅲ CalSet 雌二醇定标液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1465.20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1465.20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FSH 促卵泡成熟激素检测试剂盒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1985.82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1985.82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FSH Cal II 卵泡刺激素定标液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2187.00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2187.00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ACTH 促肾上腺皮质激素检测试剂盒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5756.40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5756.40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ACTH Cal 促肾上腺皮质激素定标液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3955.00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3955.00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Prol II催乳素检测试剂盒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2100.60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2100.60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Prolactin II Cal催乳素定标液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1376.00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1376.00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Testosterone II睾酮检测试剂盒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2103.00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2103.00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Testosterone II Cal II睾酮定标液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1376.00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1376.00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LH 黄体生成激素检测试剂盒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1985.82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1985.82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LH Cal II 黄体生成素定标液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1497.00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1497.00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Cortisol 皮质醇检测试剂盒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3871.89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3871.89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皮质醇定标液 Cortisol II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1750.50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1750.50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HCG+β 绒毛膜促性腺激素及β亚单位检测试剂盒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2251.50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2251.50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HCG+βCal 人绒毛膜促性腺激素定标液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1574.10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1574.10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Progesterone III 孕酮检测试剂盒（电化学发光法）</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1985.82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3971.64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孕酮定标液 Progesterone III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1418.40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1418.40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孕酮定标液：4*10ml(冻干品复溶体积）</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49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hGH 人生长激素检测试剂盒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2349.90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2349.90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hGH cal 人生长激素定标液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3570.00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3570.00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Anti-HBe 乙型肝炎病毒e抗体检测试剂盒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1998.00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1998.00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Anti-Hbe 乙型肝炎病毒e抗体质控液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1798.20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1798.20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HbeAg 乙型肝炎病毒e抗原检测试剂盒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1998.00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1998.00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HBeAg 乙型肝炎病毒e抗原质控液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1798.20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1798.20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乙型肝炎病毒表面抗体检测试剂盒（电化学发光法）Elecsys Anti-HBs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1668.00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1668.00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Anti-HBs乙型肝炎病毒表面抗体质控液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1798.20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1798.20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HBsAg II乙型肝炎病毒表面抗原测定试剂盒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1845.00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1845.00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HBsAg II乙型肝炎病毒表面抗原质控品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1798.20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1798.20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乙型肝炎病毒表面抗原检测试剂盒（电化学发光法）Elecsys HBsAg II quant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2252.00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2252.00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HBsAg Ⅱquant Ⅱ乙型肝炎病毒表面抗原质控品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2128.00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2128.00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15×1.3ML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乙型肝炎病毒核心抗体检测试剂盒（电化学发光法）Elecsys Anti-HBc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1911.00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1911.00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乙型肝炎病毒核心抗体质控品PreciControl Anti-HBc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1798.20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1798.20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Anti-HBc IgM乙型肝炎病毒核心抗体IgM检测试剂盒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2250.00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2250.00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Anti-HBc IgM 乙型肝炎病毒核心抗体IgM质控液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1711.80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1711.80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16*1.0ml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降钙素原检测试剂盒（电化学发光法）Elecsys BRAHMS PCT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9900.00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9900.00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Anti-TSHR促甲状腺素受体抗体检测试剂盒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5274.72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10549.44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Thyroab 甲状腺相关自身抗体质控品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3473.00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3473.00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4*2.0ml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促甲状腺激素检测试剂盒（电化学发光法）TSH</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3099.00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3099.00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促甲状腺素定标液 TSH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2198.00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2198.00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4*1.3ml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FT3 III 游离三碘甲状腺原氨酸检测试剂盒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3200.00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6400.00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FT3 III CalSet 游离三碘甲状腺原氨酸定标液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2105.00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6315.00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游离甲状腺素检测试剂盒（电化学发光法）Elecsys FT4 III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3245.00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9735.00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游离甲状腺素定标液 CalSet FT4 III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1803.00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3606.00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T3 三碘甲状腺原胺酸检测试剂盒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3245.00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9735.00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T3 Cal 三碘甲状腺原氨酸定标液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2174.00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6522.00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T4 甲状腺素检测试剂盒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6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3100.00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18600.00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T4 Cal 甲状腺素定标液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5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1955.00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9775.00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Anti-TPO 抗甲状腺过氧化物酶抗体检测试剂盒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1785.00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1785.00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79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抗甲状腺过氧化物酶抗体定标液Anti-TPO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1521.00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1521.00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4*1.5ml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Tg II 甲状腺球蛋白检测试剂盒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2068.77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2068.77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Tg II Cal  甲状腺球蛋白定标液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2046.00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2046.00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Anti-Tg 甲状腺球蛋白抗体检测试剂盒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2172.00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2172.00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甲状腺球蛋白抗体定标液 Anti-Tg CalSet</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1434.00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1434.00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4*1.5ml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CT 降钙素检测试剂盒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3442.50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3442.50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CT cal 降钙素定标液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4027.50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4027.50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CEA 癌胚抗原定量测定试剂盒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38</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1905.00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72390.00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CEA Cal 癌胚抗原定标液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5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2065.00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10325.00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AFP 甲胎蛋白检测试剂盒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38</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1924.00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73112.00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89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AFP Cal II甲胎蛋白定标液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4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1955.00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7820.00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总前列腺特异性抗原（PSA）测定试剂盒（电化学发光法）Elecsys total PSA</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19</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4464.00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84816.00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总前列腺特异性抗原定标液total PSA CalSet II</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4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2205.00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8820.00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free PSA游离前列腺特异性抗原测定试剂盒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4732.90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4732.90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free PSA Cal游离前列腺特异性抗原定标液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1413.00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1413.00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CA125 II糖类抗原125定量测定试剂盒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20</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4221.80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84436.00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 125 II Cal II糖类抗原125定标液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2174.00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6522.00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CA15-3 II糖类抗原15-3测定试剂盒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3796.00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3796.00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97</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CA15-3 II Cal 糖类抗原15-3定标液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2796.30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5592.60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98</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CA19-9 糖类抗原19-9测定试剂盒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4221.80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4222.00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99</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CA19-9 Cal 糖类抗原19-9定标液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3287.70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3287.70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100</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 72-4 糖类抗原72-4测定试剂盒</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4644.55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4644.55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100T</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101</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CA72-4 Cal糖类抗原72-4定标液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2624.40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2624.40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4*1.0ml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102</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TM 肿瘤标志物质控品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6</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4048.00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24288.00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4*3.0ml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103</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Multimarker 多标记物质控品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1706.00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1706.00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6*2.0ml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104</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Varia 免疫多项质控品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1698.00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1698.00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4*3.0ml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105</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PC Universal免疫通用质控品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1066.50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2133.00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4*3.0ml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106</w:t>
            </w:r>
          </w:p>
        </w:tc>
        <w:tc>
          <w:tcPr>
            <w:tcW w:w="2835" w:type="dxa"/>
            <w:vAlign w:val="center"/>
          </w:tcPr>
          <w:p>
            <w:pPr>
              <w:jc w:val="left"/>
              <w:rPr>
                <w:rStyle w:val="15"/>
                <w:rFonts w:ascii="宋体" w:hAnsi="宋体"/>
                <w:kern w:val="0"/>
                <w:sz w:val="20"/>
                <w:szCs w:val="20"/>
              </w:rPr>
            </w:pPr>
            <w:r>
              <w:rPr>
                <w:rStyle w:val="15"/>
                <w:rFonts w:ascii="宋体" w:hAnsi="宋体"/>
                <w:kern w:val="0"/>
                <w:sz w:val="20"/>
                <w:szCs w:val="20"/>
              </w:rPr>
              <w:t>日立样品杯</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包</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143.00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143.00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500pcs/包</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107</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Sysmex XN 系列血液分析仪用稀释液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桶</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432.00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864.00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108</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SULFOLYSER XN 血红蛋白检测试剂</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10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桶</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2598.00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25980.00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1.5L*2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109</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LYSERCELL WDF 溶血剂</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5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箱</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3558.00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17790.00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4L*2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110</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FLUOROCELL WDF 白细胞分类用染色液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7908.00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23724.00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42ml*2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111</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LYSERCELL WNR 溶血剂</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箱</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4456.00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4456.00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4L*2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112</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FLUOROCELL WNR 白细胞计数用染色液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3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8941.00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26823.00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82ml*2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113</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清洁液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8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2800.00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22400.00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4ml*20</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114</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XN CAL 血液分析仪用校准品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3818.00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7636.00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3.0ml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115</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XN CHECK 高值 血液分析仪用质控品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990.32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990.64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3.0ml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116</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XN CHECK 低值 血液分析仪用质控品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1283.00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2566.00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3.0ml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117</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XN CHECK 中值 血液分析仪用质控品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5</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1215.00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6075.00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3.0ml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118</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CELLPACK Sysmex 血细胞分析仪用稀释液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桶</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280.00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280.00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20L</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119</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全自动血液分析仪用清洁液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903.00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903.00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50ml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120</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SLS 血红蛋白检测试剂</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2793.00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2793.00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500ml*3</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121</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STR-4DL 全自动血液分析仪用溶血剂-4DL</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4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桶</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3321.00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13284.00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122</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STR-4DS 染色液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5643.00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5643.00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42ml*3</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123</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e-CHECK（XE）质控品 L1</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2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522.00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1044.00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4.5ml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124</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e-CHECK（XE）质控品 L2</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8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522.00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4176.00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4.5ml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125</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e-CHECK（XE）质控品 L3</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1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522.00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522.00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4.5ml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126</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SCS-1000血细胞分析仪用校准品</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支</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1350.00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1350.00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2ml</w:t>
            </w:r>
          </w:p>
        </w:tc>
        <w:tc>
          <w:tcPr>
            <w:tcW w:w="709" w:type="dxa"/>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127</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SLS 血红蛋白检测试剂</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2</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930.00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1860.00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500ml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9" w:type="dxa"/>
            <w:vAlign w:val="center"/>
          </w:tcPr>
          <w:p>
            <w:pPr>
              <w:jc w:val="center"/>
              <w:rPr>
                <w:rStyle w:val="15"/>
                <w:rFonts w:ascii="宋体" w:hAnsi="宋体"/>
                <w:kern w:val="0"/>
                <w:sz w:val="20"/>
                <w:szCs w:val="20"/>
              </w:rPr>
            </w:pPr>
            <w:r>
              <w:rPr>
                <w:rStyle w:val="15"/>
                <w:rFonts w:ascii="宋体" w:hAnsi="宋体"/>
                <w:kern w:val="0"/>
                <w:sz w:val="20"/>
                <w:szCs w:val="20"/>
              </w:rPr>
              <w:t>128</w:t>
            </w:r>
          </w:p>
        </w:tc>
        <w:tc>
          <w:tcPr>
            <w:tcW w:w="2835" w:type="dxa"/>
            <w:vAlign w:val="center"/>
          </w:tcPr>
          <w:p>
            <w:pPr>
              <w:jc w:val="left"/>
              <w:rPr>
                <w:rStyle w:val="15"/>
                <w:rFonts w:ascii="宋体" w:hAnsi="宋体"/>
                <w:color w:val="000000"/>
                <w:kern w:val="0"/>
                <w:sz w:val="20"/>
                <w:szCs w:val="20"/>
              </w:rPr>
            </w:pPr>
            <w:r>
              <w:rPr>
                <w:rStyle w:val="15"/>
                <w:rFonts w:ascii="宋体" w:hAnsi="宋体"/>
                <w:color w:val="000000"/>
                <w:kern w:val="0"/>
                <w:sz w:val="20"/>
                <w:szCs w:val="20"/>
              </w:rPr>
              <w:t>STR-4DS 染色液</w:t>
            </w:r>
          </w:p>
        </w:tc>
        <w:tc>
          <w:tcPr>
            <w:tcW w:w="709" w:type="dxa"/>
            <w:vAlign w:val="center"/>
          </w:tcPr>
          <w:p>
            <w:pPr>
              <w:jc w:val="center"/>
              <w:rPr>
                <w:rStyle w:val="15"/>
                <w:rFonts w:ascii="宋体" w:hAnsi="宋体"/>
                <w:kern w:val="0"/>
                <w:sz w:val="20"/>
                <w:szCs w:val="20"/>
              </w:rPr>
            </w:pPr>
            <w:r>
              <w:rPr>
                <w:rStyle w:val="15"/>
                <w:rFonts w:ascii="宋体" w:hAnsi="宋体"/>
                <w:kern w:val="0"/>
                <w:sz w:val="20"/>
                <w:szCs w:val="20"/>
              </w:rPr>
              <w:t xml:space="preserve">4 </w:t>
            </w:r>
          </w:p>
        </w:tc>
        <w:tc>
          <w:tcPr>
            <w:tcW w:w="709"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盒</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1881.00 </w:t>
            </w:r>
          </w:p>
        </w:tc>
        <w:tc>
          <w:tcPr>
            <w:tcW w:w="1134" w:type="dxa"/>
            <w:noWrap/>
            <w:vAlign w:val="center"/>
          </w:tcPr>
          <w:p>
            <w:pPr>
              <w:jc w:val="center"/>
              <w:rPr>
                <w:rStyle w:val="15"/>
                <w:rFonts w:ascii="宋体" w:hAnsi="宋体"/>
                <w:color w:val="000000"/>
                <w:kern w:val="0"/>
                <w:sz w:val="20"/>
                <w:szCs w:val="20"/>
              </w:rPr>
            </w:pPr>
            <w:r>
              <w:rPr>
                <w:rStyle w:val="15"/>
                <w:rFonts w:ascii="宋体" w:hAnsi="宋体"/>
                <w:color w:val="000000"/>
                <w:kern w:val="0"/>
                <w:sz w:val="20"/>
                <w:szCs w:val="20"/>
              </w:rPr>
              <w:t xml:space="preserve">7524.00 </w:t>
            </w:r>
          </w:p>
        </w:tc>
        <w:tc>
          <w:tcPr>
            <w:tcW w:w="1559" w:type="dxa"/>
            <w:vAlign w:val="center"/>
          </w:tcPr>
          <w:p>
            <w:pPr>
              <w:jc w:val="center"/>
              <w:rPr>
                <w:rStyle w:val="15"/>
                <w:rFonts w:ascii="宋体" w:hAnsi="宋体"/>
                <w:kern w:val="0"/>
                <w:sz w:val="20"/>
                <w:szCs w:val="20"/>
              </w:rPr>
            </w:pPr>
            <w:r>
              <w:rPr>
                <w:rStyle w:val="15"/>
                <w:rFonts w:ascii="宋体" w:hAnsi="宋体"/>
                <w:kern w:val="0"/>
                <w:sz w:val="20"/>
                <w:szCs w:val="20"/>
              </w:rPr>
              <w:t>42ml</w:t>
            </w:r>
          </w:p>
        </w:tc>
        <w:tc>
          <w:tcPr>
            <w:tcW w:w="709" w:type="dxa"/>
            <w:noWrap/>
            <w:vAlign w:val="center"/>
          </w:tcPr>
          <w:p>
            <w:pPr>
              <w:jc w:val="center"/>
              <w:rPr>
                <w:rStyle w:val="15"/>
                <w:rFonts w:ascii="Arial Unicode MS" w:hAnsi="Arial Unicode MS"/>
                <w:color w:val="000000"/>
                <w:kern w:val="0"/>
                <w:sz w:val="20"/>
                <w:szCs w:val="20"/>
              </w:rPr>
            </w:pPr>
            <w:r>
              <w:rPr>
                <w:rStyle w:val="15"/>
                <w:rFonts w:ascii="Arial Unicode MS" w:hAnsi="Arial Unicode MS"/>
                <w:color w:val="000000"/>
                <w:kern w:val="0"/>
                <w:sz w:val="20"/>
                <w:szCs w:val="20"/>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3544" w:type="dxa"/>
            <w:gridSpan w:val="2"/>
            <w:vAlign w:val="center"/>
          </w:tcPr>
          <w:p>
            <w:pPr>
              <w:jc w:val="center"/>
              <w:rPr>
                <w:rStyle w:val="15"/>
                <w:rFonts w:ascii="宋体" w:hAnsi="宋体" w:cs="宋体"/>
                <w:bCs/>
                <w:kern w:val="0"/>
                <w:sz w:val="22"/>
                <w:szCs w:val="22"/>
              </w:rPr>
            </w:pPr>
            <w:r>
              <w:rPr>
                <w:rStyle w:val="15"/>
                <w:rFonts w:ascii="宋体" w:hAnsi="宋体" w:cs="宋体"/>
                <w:kern w:val="0"/>
                <w:sz w:val="22"/>
                <w:szCs w:val="22"/>
              </w:rPr>
              <w:t>合计</w:t>
            </w:r>
          </w:p>
        </w:tc>
        <w:tc>
          <w:tcPr>
            <w:tcW w:w="709"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709"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1134"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1134" w:type="dxa"/>
            <w:vAlign w:val="center"/>
          </w:tcPr>
          <w:p>
            <w:pPr>
              <w:jc w:val="center"/>
              <w:rPr>
                <w:rStyle w:val="15"/>
                <w:rFonts w:ascii="宋体" w:hAnsi="宋体"/>
                <w:kern w:val="0"/>
                <w:sz w:val="20"/>
                <w:szCs w:val="20"/>
              </w:rPr>
            </w:pPr>
            <w:r>
              <w:rPr>
                <w:rStyle w:val="15"/>
                <w:rFonts w:ascii="宋体" w:hAnsi="宋体"/>
                <w:kern w:val="0"/>
                <w:sz w:val="20"/>
                <w:szCs w:val="20"/>
              </w:rPr>
              <w:t xml:space="preserve">934308.49 </w:t>
            </w:r>
          </w:p>
        </w:tc>
        <w:tc>
          <w:tcPr>
            <w:tcW w:w="1559"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709" w:type="dxa"/>
            <w:vAlign w:val="center"/>
          </w:tcPr>
          <w:p>
            <w:pPr>
              <w:jc w:val="center"/>
              <w:rPr>
                <w:rStyle w:val="15"/>
                <w:rFonts w:ascii="宋体" w:hAnsi="宋体"/>
                <w:kern w:val="0"/>
                <w:sz w:val="22"/>
                <w:szCs w:val="22"/>
              </w:rPr>
            </w:pPr>
            <w:r>
              <w:rPr>
                <w:rStyle w:val="15"/>
                <w:rFonts w:ascii="宋体" w:hAnsi="宋体"/>
                <w:kern w:val="0"/>
                <w:sz w:val="22"/>
                <w:szCs w:val="22"/>
              </w:rPr>
              <w:t>　</w:t>
            </w:r>
          </w:p>
        </w:tc>
      </w:tr>
    </w:tbl>
    <w:p>
      <w:pPr>
        <w:widowControl/>
        <w:jc w:val="left"/>
        <w:rPr>
          <w:rFonts w:hint="eastAsia" w:ascii="仿宋" w:hAnsi="仿宋" w:eastAsia="仿宋"/>
          <w:sz w:val="28"/>
          <w:szCs w:val="28"/>
        </w:rPr>
      </w:pPr>
    </w:p>
    <w:p>
      <w:pPr>
        <w:rPr>
          <w:rFonts w:hint="eastAsia"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D3"/>
    <w:rsid w:val="000D0E59"/>
    <w:rsid w:val="001D3FC2"/>
    <w:rsid w:val="002E2085"/>
    <w:rsid w:val="00313636"/>
    <w:rsid w:val="00501C29"/>
    <w:rsid w:val="00532E90"/>
    <w:rsid w:val="00562669"/>
    <w:rsid w:val="0058337C"/>
    <w:rsid w:val="005A0639"/>
    <w:rsid w:val="005C49D3"/>
    <w:rsid w:val="00743796"/>
    <w:rsid w:val="00B53176"/>
    <w:rsid w:val="00D32C0C"/>
    <w:rsid w:val="00DD322E"/>
    <w:rsid w:val="00FA4A19"/>
    <w:rsid w:val="00FD17FA"/>
    <w:rsid w:val="01211334"/>
    <w:rsid w:val="012F73F7"/>
    <w:rsid w:val="01D863CF"/>
    <w:rsid w:val="0D0F2988"/>
    <w:rsid w:val="0FE00F88"/>
    <w:rsid w:val="18CA0757"/>
    <w:rsid w:val="1E853E44"/>
    <w:rsid w:val="20A57948"/>
    <w:rsid w:val="28E362E4"/>
    <w:rsid w:val="2B607509"/>
    <w:rsid w:val="2F5024C1"/>
    <w:rsid w:val="34E05F26"/>
    <w:rsid w:val="35B0075F"/>
    <w:rsid w:val="36481F31"/>
    <w:rsid w:val="388422F8"/>
    <w:rsid w:val="388430DC"/>
    <w:rsid w:val="3AAE0502"/>
    <w:rsid w:val="45824D9C"/>
    <w:rsid w:val="565078D8"/>
    <w:rsid w:val="59D10433"/>
    <w:rsid w:val="6A7B16B0"/>
    <w:rsid w:val="714C59D2"/>
    <w:rsid w:val="7B0C119C"/>
    <w:rsid w:val="7CBA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cs="Times New Roman"/>
      <w:b/>
      <w:bCs/>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0"/>
    <w:rPr>
      <w:kern w:val="2"/>
      <w:sz w:val="18"/>
      <w:szCs w:val="18"/>
    </w:rPr>
  </w:style>
  <w:style w:type="character" w:customStyle="1" w:styleId="13">
    <w:name w:val="页脚 字符"/>
    <w:basedOn w:val="7"/>
    <w:link w:val="3"/>
    <w:qFormat/>
    <w:uiPriority w:val="0"/>
    <w:rPr>
      <w:kern w:val="2"/>
      <w:sz w:val="18"/>
      <w:szCs w:val="18"/>
    </w:rPr>
  </w:style>
  <w:style w:type="paragraph" w:customStyle="1" w:styleId="14">
    <w:name w:val="Heading2"/>
    <w:basedOn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5">
    <w:name w:val="NormalCharacter"/>
    <w:semiHidden/>
    <w:qFormat/>
    <w:uiPriority w:val="0"/>
  </w:style>
  <w:style w:type="table" w:customStyle="1" w:styleId="16">
    <w:name w:val="TableNormal"/>
    <w:semiHidden/>
    <w:qFormat/>
    <w:uiPriority w:val="0"/>
    <w:rPr>
      <w:rFonts w:cstheme="minorBidi"/>
    </w:rPr>
    <w:tblPr>
      <w:tblCellMar>
        <w:top w:w="0" w:type="dxa"/>
        <w:left w:w="0" w:type="dxa"/>
        <w:bottom w:w="0" w:type="dxa"/>
        <w:right w:w="0" w:type="dxa"/>
      </w:tblCellMar>
    </w:tblPr>
  </w:style>
  <w:style w:type="paragraph" w:customStyle="1" w:styleId="17">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character" w:customStyle="1" w:styleId="18">
    <w:name w:val="PageNumber"/>
    <w:basedOn w:val="15"/>
    <w:qFormat/>
    <w:uiPriority w:val="0"/>
  </w:style>
  <w:style w:type="paragraph" w:customStyle="1" w:styleId="19">
    <w:name w:val="UserStyle_0"/>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20">
    <w:name w:val="Acetate"/>
    <w:basedOn w:val="1"/>
    <w:semiHidden/>
    <w:qFormat/>
    <w:uiPriority w:val="0"/>
    <w:pPr>
      <w:widowControl/>
      <w:textAlignment w:val="baseline"/>
    </w:pPr>
    <w:rPr>
      <w:rFonts w:cstheme="minorBidi"/>
      <w:sz w:val="18"/>
      <w:szCs w:val="18"/>
    </w:rPr>
  </w:style>
  <w:style w:type="table" w:customStyle="1" w:styleId="21">
    <w:name w:val="TableGrid"/>
    <w:basedOn w:val="16"/>
    <w:qFormat/>
    <w:uiPriority w:val="0"/>
    <w:tblPr>
      <w:tblCellMar>
        <w:top w:w="0" w:type="dxa"/>
        <w:left w:w="0" w:type="dxa"/>
        <w:bottom w:w="0" w:type="dxa"/>
        <w:right w:w="0" w:type="dxa"/>
      </w:tblCellMar>
    </w:tblPr>
  </w:style>
  <w:style w:type="table" w:customStyle="1" w:styleId="22">
    <w:name w:val="TableElegant"/>
    <w:basedOn w:val="16"/>
    <w:qFormat/>
    <w:uiPriority w:val="0"/>
    <w:tblPr>
      <w:tblCellMar>
        <w:top w:w="0" w:type="dxa"/>
        <w:left w:w="0" w:type="dxa"/>
        <w:bottom w:w="0" w:type="dxa"/>
        <w:right w:w="0" w:type="dxa"/>
      </w:tblCellMar>
    </w:tblPr>
  </w:style>
  <w:style w:type="table" w:customStyle="1" w:styleId="23">
    <w:name w:val="TableClassic1"/>
    <w:basedOn w:val="16"/>
    <w:qFormat/>
    <w:uiPriority w:val="0"/>
    <w:tblPr>
      <w:tblCellMar>
        <w:top w:w="0" w:type="dxa"/>
        <w:left w:w="0" w:type="dxa"/>
        <w:bottom w:w="0" w:type="dxa"/>
        <w:right w:w="0" w:type="dxa"/>
      </w:tblCellMar>
    </w:tblPr>
  </w:style>
  <w:style w:type="table" w:customStyle="1" w:styleId="24">
    <w:name w:val="TableSubtle1"/>
    <w:basedOn w:val="16"/>
    <w:qFormat/>
    <w:uiPriority w:val="0"/>
    <w:tblPr>
      <w:tblCellMar>
        <w:top w:w="0" w:type="dxa"/>
        <w:left w:w="0" w:type="dxa"/>
        <w:bottom w:w="0" w:type="dxa"/>
        <w:right w:w="0" w:type="dxa"/>
      </w:tblCellMar>
    </w:tblPr>
  </w:style>
  <w:style w:type="table" w:customStyle="1" w:styleId="25">
    <w:name w:val="TableTheme"/>
    <w:basedOn w:val="16"/>
    <w:qFormat/>
    <w:uiPriority w:val="0"/>
    <w:tblPr>
      <w:tblCellMar>
        <w:top w:w="0" w:type="dxa"/>
        <w:left w:w="0" w:type="dxa"/>
        <w:bottom w:w="0" w:type="dxa"/>
        <w:right w:w="0" w:type="dxa"/>
      </w:tblCellMar>
    </w:tblPr>
  </w:style>
  <w:style w:type="table" w:customStyle="1" w:styleId="26">
    <w:name w:val="TableColorful1"/>
    <w:basedOn w:val="16"/>
    <w:qFormat/>
    <w:uiPriority w:val="0"/>
    <w:tblPr>
      <w:tblCellMar>
        <w:top w:w="0" w:type="dxa"/>
        <w:left w:w="0" w:type="dxa"/>
        <w:bottom w:w="0" w:type="dxa"/>
        <w:right w:w="0" w:type="dxa"/>
      </w:tblCellMar>
    </w:tblPr>
  </w:style>
  <w:style w:type="table" w:customStyle="1" w:styleId="27">
    <w:name w:val="TableColorful2"/>
    <w:basedOn w:val="16"/>
    <w:qFormat/>
    <w:uiPriority w:val="0"/>
    <w:tblPr>
      <w:tblCellMar>
        <w:top w:w="0" w:type="dxa"/>
        <w:left w:w="0" w:type="dxa"/>
        <w:bottom w:w="0" w:type="dxa"/>
        <w:right w:w="0" w:type="dxa"/>
      </w:tblCellMar>
    </w:tblPr>
  </w:style>
  <w:style w:type="table" w:customStyle="1" w:styleId="28">
    <w:name w:val="TableColorful3"/>
    <w:basedOn w:val="16"/>
    <w:qFormat/>
    <w:uiPriority w:val="0"/>
    <w:tblPr>
      <w:tblCellMar>
        <w:top w:w="0" w:type="dxa"/>
        <w:left w:w="0" w:type="dxa"/>
        <w:bottom w:w="0" w:type="dxa"/>
        <w:right w:w="0" w:type="dxa"/>
      </w:tblCellMar>
    </w:tblPr>
  </w:style>
  <w:style w:type="paragraph" w:customStyle="1" w:styleId="29">
    <w:name w:val="UserStyle_1"/>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30">
    <w:name w:val="UserStyle_2"/>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1">
    <w:name w:val="UserStyle_3"/>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2">
    <w:name w:val="UserStyle_4"/>
    <w:basedOn w:val="1"/>
    <w:qFormat/>
    <w:uiPriority w:val="0"/>
    <w:pPr>
      <w:widowControl/>
      <w:spacing w:before="100" w:beforeAutospacing="1" w:after="100" w:afterAutospacing="1"/>
      <w:jc w:val="left"/>
      <w:textAlignment w:val="baseline"/>
    </w:pPr>
    <w:rPr>
      <w:rFonts w:cstheme="minorBidi"/>
      <w:kern w:val="0"/>
      <w:sz w:val="22"/>
      <w:szCs w:val="22"/>
    </w:rPr>
  </w:style>
  <w:style w:type="paragraph" w:customStyle="1" w:styleId="33">
    <w:name w:val="UserStyle_5"/>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4">
    <w:name w:val="UserStyle_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5">
    <w:name w:val="UserStyle_7"/>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36">
    <w:name w:val="UserStyle_8"/>
    <w:basedOn w:val="1"/>
    <w:qFormat/>
    <w:uiPriority w:val="0"/>
    <w:pPr>
      <w:widowControl/>
      <w:spacing w:before="100" w:beforeAutospacing="1" w:after="100" w:afterAutospacing="1"/>
      <w:jc w:val="left"/>
      <w:textAlignment w:val="bottom"/>
    </w:pPr>
    <w:rPr>
      <w:rFonts w:ascii="宋体" w:hAnsi="宋体" w:cstheme="minorBidi"/>
      <w:kern w:val="0"/>
      <w:sz w:val="22"/>
      <w:szCs w:val="22"/>
    </w:rPr>
  </w:style>
  <w:style w:type="paragraph" w:customStyle="1" w:styleId="37">
    <w:name w:val="UserStyle_9"/>
    <w:basedOn w:val="1"/>
    <w:qFormat/>
    <w:uiPriority w:val="0"/>
    <w:pPr>
      <w:widowControl/>
      <w:pBdr>
        <w:bottom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8">
    <w:name w:val="UserStyle_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9">
    <w:name w:val="UserStyle_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0">
    <w:name w:val="UserStyle_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heme="minorBidi"/>
      <w:kern w:val="0"/>
      <w:sz w:val="22"/>
      <w:szCs w:val="22"/>
    </w:rPr>
  </w:style>
  <w:style w:type="paragraph" w:customStyle="1" w:styleId="41">
    <w:name w:val="UserStyle_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2">
    <w:name w:val="UserStyle_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2"/>
      <w:szCs w:val="22"/>
    </w:rPr>
  </w:style>
  <w:style w:type="paragraph" w:customStyle="1" w:styleId="43">
    <w:name w:val="UserStyle_1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4">
    <w:name w:val="UserStyle_1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5">
    <w:name w:val="UserStyle_1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46">
    <w:name w:val="UserStyle_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7">
    <w:name w:val="UserStyle_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8">
    <w:name w:val="UserStyle_2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49">
    <w:name w:val="UserStyle_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0">
    <w:name w:val="UserStyle_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1">
    <w:name w:val="UserStyle_2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2">
    <w:name w:val="UserStyle_2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3">
    <w:name w:val="UserStyle_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4">
    <w:name w:val="UserStyle_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5">
    <w:name w:val="UserStyle_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6">
    <w:name w:val="UserStyle_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7">
    <w:name w:val="UserStyle_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8">
    <w:name w:val="UserStyle_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9">
    <w:name w:val="UserStyle_31"/>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60">
    <w:name w:val="UserStyle_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1">
    <w:name w:val="UserStyle_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2">
    <w:name w:val="UserStyle_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3">
    <w:name w:val="UserStyle_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4">
    <w:name w:val="UserStyle_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5">
    <w:name w:val="UserStyle_37"/>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6">
    <w:name w:val="UserStyle_3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18"/>
      <w:szCs w:val="18"/>
    </w:rPr>
  </w:style>
  <w:style w:type="paragraph" w:customStyle="1" w:styleId="67">
    <w:name w:val="UserStyle_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68">
    <w:name w:val="UserStyle_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9">
    <w:name w:val="UserStyle_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70">
    <w:name w:val="UserStyle_42"/>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2"/>
      <w:szCs w:val="22"/>
    </w:rPr>
  </w:style>
  <w:style w:type="paragraph" w:customStyle="1" w:styleId="71">
    <w:name w:val="UserStyle_43"/>
    <w:basedOn w:val="1"/>
    <w:qFormat/>
    <w:uiPriority w:val="0"/>
    <w:pPr>
      <w:widowControl/>
      <w:spacing w:before="100" w:beforeAutospacing="1" w:after="100" w:afterAutospacing="1"/>
      <w:jc w:val="center"/>
      <w:textAlignment w:val="baseline"/>
    </w:pPr>
    <w:rPr>
      <w:rFonts w:ascii="宋体" w:hAnsi="宋体" w:cs="宋体"/>
      <w:b/>
      <w:bCs/>
      <w:kern w:val="0"/>
      <w:sz w:val="22"/>
      <w:szCs w:val="22"/>
    </w:rPr>
  </w:style>
  <w:style w:type="paragraph" w:customStyle="1" w:styleId="72">
    <w:name w:val="UserStyle_44"/>
    <w:basedOn w:val="1"/>
    <w:qFormat/>
    <w:uiPriority w:val="0"/>
    <w:pPr>
      <w:widowControl/>
      <w:spacing w:before="100" w:beforeAutospacing="1" w:after="100" w:afterAutospacing="1"/>
      <w:jc w:val="right"/>
      <w:textAlignment w:val="baseline"/>
    </w:pPr>
    <w:rPr>
      <w:rFonts w:ascii="宋体" w:hAnsi="宋体" w:cstheme="minorBidi"/>
      <w:kern w:val="0"/>
      <w:sz w:val="22"/>
      <w:szCs w:val="22"/>
    </w:rPr>
  </w:style>
  <w:style w:type="paragraph" w:customStyle="1" w:styleId="73">
    <w:name w:val="UserStyle_4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4">
    <w:name w:val="UserStyle_4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5">
    <w:name w:val="UserStyle_47"/>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6">
    <w:name w:val="UserStyle_4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7">
    <w:name w:val="UserStyle_49"/>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8">
    <w:name w:val="UserStyle_50"/>
    <w:basedOn w:val="1"/>
    <w:uiPriority w:val="0"/>
    <w:pPr>
      <w:widowControl/>
      <w:pBdr>
        <w:bottom w:val="single" w:color="000000" w:sz="4" w:space="0"/>
      </w:pBdr>
      <w:spacing w:before="100" w:beforeAutospacing="1" w:after="100" w:afterAutospacing="1"/>
      <w:jc w:val="right"/>
      <w:textAlignment w:val="baseline"/>
    </w:pPr>
    <w:rPr>
      <w:rFonts w:ascii="宋体" w:hAnsi="宋体" w:cstheme="minorBidi"/>
      <w:kern w:val="0"/>
      <w:sz w:val="22"/>
      <w:szCs w:val="22"/>
    </w:rPr>
  </w:style>
  <w:style w:type="paragraph" w:customStyle="1" w:styleId="79">
    <w:name w:val="UserStyle_51"/>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zcc</Company>
  <Pages>11</Pages>
  <Words>1293</Words>
  <Characters>7374</Characters>
  <Lines>61</Lines>
  <Paragraphs>17</Paragraphs>
  <TotalTime>38</TotalTime>
  <ScaleCrop>false</ScaleCrop>
  <LinksUpToDate>false</LinksUpToDate>
  <CharactersWithSpaces>8650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2021-04-02T02:47:00Z</dcterms:created>
  <dc:creator>Administrator</dc:creator>
  <cp:lastModifiedBy>W光泰</cp:lastModifiedBy>
  <dcterms:modified xsi:type="dcterms:W3CDTF">2021-04-14T01:46:01Z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D58DE44AAD394AD28E3C4CBFED10C4BE</vt:lpwstr>
  </property>
</Properties>
</file>